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2565E" w:rsidP="0022565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07.11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42A0">
              <w:rPr>
                <w:rFonts w:cs="Arial"/>
                <w:b/>
                <w:sz w:val="24"/>
                <w:szCs w:val="24"/>
              </w:rPr>
              <w:t>ÖDENEK TAHSİSİ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C742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22565E">
              <w:rPr>
                <w:rFonts w:cs="Arial"/>
                <w:b/>
                <w:sz w:val="24"/>
                <w:szCs w:val="24"/>
              </w:rPr>
              <w:t>9</w:t>
            </w:r>
            <w:r w:rsidR="00C742A0">
              <w:rPr>
                <w:rFonts w:cs="Arial"/>
                <w:b/>
                <w:sz w:val="24"/>
                <w:szCs w:val="24"/>
              </w:rPr>
              <w:t>7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2565E">
        <w:rPr>
          <w:rFonts w:cs="Arial"/>
          <w:sz w:val="24"/>
          <w:szCs w:val="24"/>
        </w:rPr>
        <w:t>07.11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C742A0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C742A0">
        <w:rPr>
          <w:rFonts w:cs="Arial"/>
          <w:sz w:val="24"/>
          <w:szCs w:val="24"/>
        </w:rPr>
        <w:t xml:space="preserve">Musabeyli Köylere Hizmet Götürme Birliğince </w:t>
      </w:r>
      <w:proofErr w:type="spellStart"/>
      <w:r w:rsidRPr="00C742A0">
        <w:rPr>
          <w:rFonts w:cs="Arial"/>
          <w:sz w:val="24"/>
          <w:szCs w:val="24"/>
        </w:rPr>
        <w:t>Hasancalı</w:t>
      </w:r>
      <w:proofErr w:type="spellEnd"/>
      <w:r w:rsidRPr="00C742A0">
        <w:rPr>
          <w:rFonts w:cs="Arial"/>
          <w:sz w:val="24"/>
          <w:szCs w:val="24"/>
        </w:rPr>
        <w:t xml:space="preserve"> Köyü İçme Suyu Hattı Yapım İşinden artan </w:t>
      </w:r>
      <w:r w:rsidRPr="00C742A0">
        <w:rPr>
          <w:rFonts w:cs="Arial"/>
          <w:b/>
          <w:sz w:val="24"/>
          <w:szCs w:val="24"/>
        </w:rPr>
        <w:t>743.020,89-TL</w:t>
      </w:r>
      <w:r w:rsidRPr="00C742A0">
        <w:rPr>
          <w:rFonts w:cs="Arial"/>
          <w:sz w:val="24"/>
          <w:szCs w:val="24"/>
        </w:rPr>
        <w:t xml:space="preserve"> ödeneğin tahsis amacının değiştirilmesine </w:t>
      </w:r>
      <w:r w:rsidR="00437454" w:rsidRPr="00C742A0">
        <w:rPr>
          <w:rFonts w:cs="Arial"/>
          <w:sz w:val="24"/>
          <w:szCs w:val="24"/>
        </w:rPr>
        <w:t xml:space="preserve">ilişkin </w:t>
      </w:r>
      <w:r w:rsidRPr="00C742A0">
        <w:rPr>
          <w:rFonts w:cs="Arial"/>
          <w:sz w:val="24"/>
          <w:szCs w:val="24"/>
        </w:rPr>
        <w:t xml:space="preserve">İl Özel İdaresinin Valilik Makamından </w:t>
      </w:r>
      <w:proofErr w:type="spellStart"/>
      <w:r w:rsidRPr="00C742A0">
        <w:rPr>
          <w:rFonts w:cs="Arial"/>
          <w:sz w:val="24"/>
          <w:szCs w:val="24"/>
        </w:rPr>
        <w:t>muhavvel</w:t>
      </w:r>
      <w:proofErr w:type="spellEnd"/>
      <w:r w:rsidRPr="00C742A0">
        <w:rPr>
          <w:rFonts w:cs="Arial"/>
          <w:sz w:val="24"/>
          <w:szCs w:val="24"/>
        </w:rPr>
        <w:t xml:space="preserve"> 06.11.2024 tarih ve 23819 sayılı yazısı okunarak </w:t>
      </w:r>
      <w:r w:rsidR="00341F3E" w:rsidRPr="00C742A0">
        <w:rPr>
          <w:rFonts w:cs="Arial"/>
          <w:sz w:val="24"/>
          <w:szCs w:val="24"/>
        </w:rPr>
        <w:t>aşağıdaki karar alınmıştır</w:t>
      </w:r>
      <w:r w:rsidR="00341F3E" w:rsidRPr="00F9033F">
        <w:rPr>
          <w:rFonts w:cs="Arial"/>
          <w:sz w:val="24"/>
          <w:szCs w:val="24"/>
        </w:rPr>
        <w:t>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F4DCA" w:rsidRDefault="009F4DCA" w:rsidP="00E63645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 w:rsidRPr="00C742A0">
        <w:rPr>
          <w:rFonts w:cs="Arial"/>
          <w:sz w:val="24"/>
          <w:szCs w:val="24"/>
        </w:rPr>
        <w:t>Musabeyli K</w:t>
      </w:r>
      <w:r>
        <w:rPr>
          <w:rFonts w:cs="Arial"/>
          <w:sz w:val="24"/>
          <w:szCs w:val="24"/>
        </w:rPr>
        <w:t xml:space="preserve">öylere Hizmet Götürme Birliği Başkanlığının 04.11.2024 tarih ve 4634 sayılı yazısından, </w:t>
      </w:r>
      <w:proofErr w:type="spellStart"/>
      <w:r w:rsidRPr="00C742A0">
        <w:rPr>
          <w:rFonts w:cs="Arial"/>
          <w:sz w:val="24"/>
          <w:szCs w:val="24"/>
        </w:rPr>
        <w:t>Hasancalı</w:t>
      </w:r>
      <w:proofErr w:type="spellEnd"/>
      <w:r w:rsidRPr="00C742A0">
        <w:rPr>
          <w:rFonts w:cs="Arial"/>
          <w:sz w:val="24"/>
          <w:szCs w:val="24"/>
        </w:rPr>
        <w:t xml:space="preserve"> Köyü İçme Suy</w:t>
      </w:r>
      <w:r>
        <w:rPr>
          <w:rFonts w:cs="Arial"/>
          <w:sz w:val="24"/>
          <w:szCs w:val="24"/>
        </w:rPr>
        <w:t xml:space="preserve">u Hattı Yapım İşinin 29.02.2024 tarihinde tamamlandığı ve bu işin yapılması için İl Özel İdaresi tarafından peyderpey aktarılan toplam </w:t>
      </w:r>
      <w:r w:rsidRPr="009F4DCA">
        <w:rPr>
          <w:rFonts w:cs="Arial"/>
          <w:sz w:val="24"/>
          <w:szCs w:val="24"/>
        </w:rPr>
        <w:t>5.460.000,00-TL ödenekten artan 743.020,89-TL</w:t>
      </w:r>
      <w:r w:rsidRPr="00C742A0">
        <w:rPr>
          <w:rFonts w:cs="Arial"/>
          <w:sz w:val="24"/>
          <w:szCs w:val="24"/>
        </w:rPr>
        <w:t xml:space="preserve"> ödeneğin</w:t>
      </w:r>
      <w:r>
        <w:rPr>
          <w:rFonts w:cs="Arial"/>
          <w:sz w:val="24"/>
          <w:szCs w:val="24"/>
        </w:rPr>
        <w:t xml:space="preserve"> tahsis amacının değiştirilmesi talebi incelenmiş olup,</w:t>
      </w:r>
      <w:proofErr w:type="gramEnd"/>
    </w:p>
    <w:p w:rsidR="00E63645" w:rsidRPr="00F9033F" w:rsidRDefault="009F4DCA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müzakereler neticesinde; Artan ödeneğin 100.000,00-TL’sinin mezar kazı işlemi için, bakiye kalan 643.020,00-TL’sinin ise Musabeyli Köylere Hizmet Götürme Birliğinin huzur hakkı, Birlik genel giderleri vb Birlik Başkanlığının diğer ihtiyaçlarında kullanılmak üzere tahsis edilmesine</w:t>
      </w:r>
      <w:r w:rsidRPr="00C742A0">
        <w:rPr>
          <w:rFonts w:cs="Arial"/>
          <w:sz w:val="24"/>
          <w:szCs w:val="24"/>
        </w:rPr>
        <w:t xml:space="preserve"> </w:t>
      </w:r>
      <w:r w:rsidR="00E63645" w:rsidRPr="00F9033F">
        <w:rPr>
          <w:rFonts w:cs="Arial"/>
          <w:sz w:val="24"/>
          <w:szCs w:val="24"/>
        </w:rPr>
        <w:t>oy birliği ile karar verildi.</w:t>
      </w:r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720549" w:rsidRPr="00F9033F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Pr="00F9033F" w:rsidRDefault="00863330" w:rsidP="00B24B28">
      <w:pPr>
        <w:rPr>
          <w:rFonts w:cs="Arial"/>
          <w:sz w:val="24"/>
          <w:szCs w:val="24"/>
        </w:rPr>
      </w:pPr>
    </w:p>
    <w:sectPr w:rsidR="00863330" w:rsidRPr="00F9033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581" w:rsidRDefault="00441581">
      <w:r>
        <w:separator/>
      </w:r>
    </w:p>
  </w:endnote>
  <w:endnote w:type="continuationSeparator" w:id="0">
    <w:p w:rsidR="00441581" w:rsidRDefault="0044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D2D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D2D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581" w:rsidRDefault="00441581">
      <w:r>
        <w:separator/>
      </w:r>
    </w:p>
  </w:footnote>
  <w:footnote w:type="continuationSeparator" w:id="0">
    <w:p w:rsidR="00441581" w:rsidRDefault="00441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581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DCA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42A0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20D2-6BB0-4B5C-9CB7-A68AA2FE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2024-08-29T07:54:00Z</cp:lastPrinted>
  <dcterms:created xsi:type="dcterms:W3CDTF">2024-11-07T04:56:00Z</dcterms:created>
  <dcterms:modified xsi:type="dcterms:W3CDTF">2024-11-07T05:06:00Z</dcterms:modified>
</cp:coreProperties>
</file>